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https://www.marylandtaxes.gov/forms/CAFR/cafr2019.pdf 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Review:</w:t>
      </w:r>
      <w:r>
        <w:rPr>
          <w:rFonts w:ascii="Arial" w:hAnsi="Arial" w:cs="Arial"/>
          <w:color w:val="001847"/>
          <w:sz w:val="36"/>
          <w:szCs w:val="36"/>
        </w:rPr>
        <w:br/>
        <w:t>Accounting Manual for Public School Districts in the State of Washington: </w:t>
      </w:r>
      <w:hyperlink r:id="rId5" w:tgtFrame="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https://www.k12.wa.us/policy-funding/school-apportionment/instructions-and-tools/accounting-manual</w:t>
        </w:r>
      </w:hyperlink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Review Chapter 3 – Accounting Guidelines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Review Chapter 4 – General Ledger Accounts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Review Chapter 6 – Expenditure Accounts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Learn more about GASB 34 by accessing the link:</w:t>
      </w:r>
      <w:r>
        <w:rPr>
          <w:rFonts w:ascii="Arial" w:hAnsi="Arial" w:cs="Arial"/>
          <w:color w:val="001847"/>
          <w:sz w:val="36"/>
          <w:szCs w:val="36"/>
        </w:rPr>
        <w:br/>
      </w:r>
      <w:hyperlink r:id="rId6" w:tgtFrame="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https://www.gasb.org/jsp/GASB/Page/GASBLandingPage&amp;cid=1175804799014</w:t>
        </w:r>
      </w:hyperlink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Source:</w:t>
      </w:r>
      <w:hyperlink r:id="rId7" w:tgtFrame="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https://www.k12.wa.us/policy-funding/school-apportionment/instructions-and-tools/accounting-manual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PLEASE ANSWER QUESTIONS COMPLETELY !!!!!!!!!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Proprietary Funds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(1) How many major enterprise funds does the entity maintain (if any)?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(2) Are all the major enterprise funds operating at a profit (Operating Income)?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(3) Does the entity maintain any internal service funds (major and/or nonmajor)?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(4) Do the financial statements include a statement of cash flows for proprietary funds? If so, is the direct method or indirect method used?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Fiduciary Funds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lastRenderedPageBreak/>
        <w:t>(1) There are four types of fiduciary funds. Does this entity maintain all four types?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(2) What are the purposes of the entity’s fiduciary funds?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Other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(1) What is the financial condition of the government you selected?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For example, compare current revenues and expenses with the prior year.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Compare the budgeted amounts with the actual amounts.</w:t>
      </w:r>
    </w:p>
    <w:p w:rsidR="000E4303" w:rsidRDefault="000E4303" w:rsidP="000E4303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Also, look for key issues addressed in the “Management’s Discussion and Analysis” section of the CAFR. What do you see that is particularly noteworthy.</w:t>
      </w:r>
    </w:p>
    <w:p w:rsidR="00B4144E" w:rsidRDefault="00B4144E">
      <w:bookmarkStart w:id="0" w:name="_GoBack"/>
      <w:bookmarkEnd w:id="0"/>
    </w:p>
    <w:sectPr w:rsidR="00B41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03"/>
    <w:rsid w:val="000E4303"/>
    <w:rsid w:val="00B4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4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E43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4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E43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12.wa.us/policy-funding/school-apportionment/instructions-and-tools/accounting-manu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asb.org/jsp/GASB/Page/GASBLandingPage&amp;cid=1175804799014" TargetMode="External"/><Relationship Id="rId5" Type="http://schemas.openxmlformats.org/officeDocument/2006/relationships/hyperlink" Target="https://www.k12.wa.us/policy-funding/school-apportionment/instructions-and-tools/accounting-manua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2020-10-09T05:30:00Z</dcterms:created>
  <dcterms:modified xsi:type="dcterms:W3CDTF">2020-10-09T05:30:00Z</dcterms:modified>
</cp:coreProperties>
</file>